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851" w:val="left"/>
        </w:tabs>
        <w:spacing w:after="120"/>
        <w:ind w:firstLine="284"/>
        <w:jc w:val="right"/>
        <w:rPr>
          <w:rFonts w:ascii="Times New Roman" w:hAnsi="Times New Roman"/>
          <w:b w:val="1"/>
          <w:sz w:val="28"/>
        </w:rPr>
      </w:pPr>
    </w:p>
    <w:p w14:paraId="02000000">
      <w:pPr>
        <w:tabs>
          <w:tab w:leader="none" w:pos="851" w:val="left"/>
        </w:tabs>
        <w:ind w:firstLine="284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ПРИЛОЖЕНИЕ № 1</w:t>
      </w:r>
    </w:p>
    <w:p w14:paraId="03000000">
      <w:pPr>
        <w:tabs>
          <w:tab w:leader="none" w:pos="851" w:val="left"/>
        </w:tabs>
        <w:ind w:firstLine="284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 ОФЕРТЕ «</w:t>
      </w:r>
      <w:r>
        <w:rPr>
          <w:rFonts w:ascii="Times New Roman" w:hAnsi="Times New Roman"/>
          <w:b w:val="1"/>
          <w:sz w:val="24"/>
        </w:rPr>
        <w:t xml:space="preserve">ДОГОВОР ОКАЗАНИЯ УСЛУГ </w:t>
      </w:r>
    </w:p>
    <w:p w14:paraId="04000000">
      <w:pPr>
        <w:tabs>
          <w:tab w:leader="none" w:pos="851" w:val="left"/>
        </w:tabs>
        <w:ind w:firstLine="284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ПО РЕАЛИЗАЦИИ БИЛЕТОВ НА МЕРОПРИЯТИЯ </w:t>
      </w:r>
    </w:p>
    <w:p w14:paraId="05000000">
      <w:pPr>
        <w:tabs>
          <w:tab w:leader="none" w:pos="851" w:val="left"/>
        </w:tabs>
        <w:ind w:firstLine="284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b w:val="1"/>
          <w:sz w:val="24"/>
        </w:rPr>
        <w:t xml:space="preserve"> ПОМОЩЬЮ ПЛАТФОРМЫ MAYAK.TRAVEL»</w:t>
      </w:r>
    </w:p>
    <w:p w14:paraId="06000000">
      <w:pPr>
        <w:tabs>
          <w:tab w:leader="none" w:pos="851" w:val="left"/>
        </w:tabs>
        <w:spacing w:after="120"/>
        <w:ind w:firstLine="284"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tabs>
          <w:tab w:leader="none" w:pos="851" w:val="left"/>
        </w:tabs>
        <w:spacing w:after="120"/>
        <w:ind w:firstLine="284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ТАРИФЫ для Организатора</w:t>
      </w:r>
    </w:p>
    <w:p w14:paraId="08000000">
      <w:pPr>
        <w:tabs>
          <w:tab w:leader="none" w:pos="851" w:val="left"/>
        </w:tabs>
        <w:spacing w:after="120"/>
        <w:ind w:firstLine="284"/>
        <w:rPr>
          <w:rFonts w:ascii="Times New Roman" w:hAnsi="Times New Roman"/>
        </w:rPr>
      </w:pPr>
    </w:p>
    <w:p w14:paraId="09000000">
      <w:pPr>
        <w:tabs>
          <w:tab w:leader="none" w:pos="851" w:val="left"/>
        </w:tabs>
        <w:spacing w:after="100" w:before="10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 Домодедово, с. Долматово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«__» ______________ 20__ года</w:t>
      </w:r>
    </w:p>
    <w:p w14:paraId="0A000000">
      <w:pPr>
        <w:tabs>
          <w:tab w:leader="none" w:pos="851" w:val="left"/>
        </w:tabs>
        <w:spacing w:after="100" w:before="100"/>
        <w:ind w:firstLine="284"/>
        <w:jc w:val="both"/>
        <w:rPr>
          <w:rFonts w:ascii="Times New Roman" w:hAnsi="Times New Roman"/>
        </w:rPr>
      </w:pPr>
    </w:p>
    <w:p w14:paraId="0B000000">
      <w:pPr>
        <w:tabs>
          <w:tab w:leader="none" w:pos="851" w:val="left"/>
        </w:tabs>
        <w:spacing w:after="12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Настоящие Тарифы установлены Оператором на 2023 год. Оператор имеет право, по условиям Договора, вносить изменения в Тарифы, опубликовав, соответствующие изменения. Оператором и Организатором, в исключительных случаях, могут быть установлены индивидуальный Тариф на Мероприятие, по дополнительному согласованию.</w:t>
      </w:r>
    </w:p>
    <w:p w14:paraId="0C000000">
      <w:pPr>
        <w:tabs>
          <w:tab w:leader="none" w:pos="851" w:val="left"/>
        </w:tabs>
        <w:spacing w:after="120"/>
        <w:ind w:firstLine="284"/>
        <w:jc w:val="both"/>
        <w:rPr>
          <w:rFonts w:ascii="Times New Roman" w:hAnsi="Times New Roman"/>
          <w:sz w:val="18"/>
        </w:rPr>
      </w:pPr>
    </w:p>
    <w:tbl>
      <w:tblPr>
        <w:tblStyle w:val="Style_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5250"/>
        <w:gridCol w:w="2520"/>
        <w:gridCol w:w="2430"/>
      </w:tblGrid>
      <w:tr>
        <w:trPr>
          <w:trHeight w:hRule="atLeast" w:val="420"/>
        </w:trP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D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type="dxa" w:w="495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E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Тариф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F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0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«Фиксированный процент»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1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«Индивидуальный»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  <w:vertAlign w:val="superscript"/>
              </w:rPr>
              <w:t>а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2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Вознаграждение Оператора*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3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% от стоимости реализованного  билета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4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Устанавливается индивидуально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5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доступа к Платформе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6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7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8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личного кабинета на Платформе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9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A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B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сервиса для считывая, учета и погашения билетов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C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D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E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Оператором своих услуг по эквайрингу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F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0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1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электронного билета и отправка клиенту/покупателю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2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3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4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бланк билета (для самостоятельного распечатывания)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5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6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7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Дополнительное вознаграждение Оператора за бланк билета (для самостоятельного распечатывания). Каждому билету присваивается свой норм (QR код/штрих код)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8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рубля за один бланк билет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9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Устанавливается индивидуально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A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формирование бланка пригласительного билета без цены.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B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C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D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Дополнительное вознаграждение Оператора за формирование бланка пригласительного билета без цены.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E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F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0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Возможность интеграции с другими билетными операторами и площадками по продаже и реализации </w:t>
            </w:r>
            <w:r>
              <w:rPr>
                <w:rFonts w:ascii="Times New Roman" w:hAnsi="Times New Roman"/>
              </w:rPr>
              <w:t>электронных билетов (при наличии на их стороне технической возможности). Данное согласование со сторонним сервисом осуществляется Организатором.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1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2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❌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3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самостоятельного формирование отчетов в личном кабинете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4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5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6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осуществление возвратов клиентам/покупателям через Оператора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7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8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9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Дополнительное вознаграждение Оператора по операциям возврата стоимости билета клиенту/покупателю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A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2 % процента от стоимости возвращаемого билета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B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Устанавливается индивидуально </w:t>
            </w:r>
          </w:p>
        </w:tc>
      </w:tr>
      <w:tr>
        <w:tc>
          <w:tcPr>
            <w:tcW w:type="dxa" w:w="52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C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вывода денежных средств до начала мероприятия ****</w:t>
            </w:r>
          </w:p>
        </w:tc>
        <w:tc>
          <w:tcPr>
            <w:tcW w:type="dxa" w:w="2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D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type="dxa" w:w="24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E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</w:tbl>
    <w:p w14:paraId="3F000000">
      <w:pPr>
        <w:tabs>
          <w:tab w:leader="none" w:pos="851" w:val="left"/>
        </w:tabs>
        <w:spacing w:after="120"/>
        <w:ind w:firstLine="28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а - тариф “Индивидуальный” подходит для музыкальных групп, а также Организаторов, заключающих с Оператором договор эксклюзивного размещения продажи Билетов только на Платформе Оператора. Условия вознаграждения и иных прав и обязательств устанавливаются Оператором и Организатором отдельно и фиксируются в присоединении к Договору. </w:t>
      </w:r>
    </w:p>
    <w:p w14:paraId="40000000">
      <w:pPr>
        <w:tabs>
          <w:tab w:leader="none" w:pos="851" w:val="left"/>
        </w:tabs>
        <w:spacing w:after="120"/>
        <w:ind w:firstLine="28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* </w:t>
      </w:r>
      <w:r>
        <w:rPr>
          <w:rFonts w:ascii="Times New Roman" w:hAnsi="Times New Roman"/>
          <w:sz w:val="18"/>
        </w:rPr>
        <w:t>вознаграждение Оператора по тарифам:</w:t>
      </w:r>
    </w:p>
    <w:p w14:paraId="41000000">
      <w:pPr>
        <w:numPr>
          <w:ilvl w:val="0"/>
          <w:numId w:val="1"/>
        </w:numPr>
        <w:tabs>
          <w:tab w:leader="none" w:pos="851" w:val="left"/>
        </w:tabs>
        <w:spacing w:after="120"/>
        <w:ind w:firstLine="284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“Фиксированный процент”. Процент с продажи билетов Оператором берется от всех проданных через Платформу билетов. Процент удерживается Оператором автоматически. В тарифе предусмотрена возможность формирование бланков пригласительных билетов (для самостоятельного распечатывания) , такие билеты попадают в соответствующее поле отчета по мероприятию и процент по ним не начисляется Оператором и дополнительных вознаграждений по таким пригласительным Оператором не начисляется. В случае формирования бланков билетов (для дальнейшего самостоятельного распечатывания) из соответствующей категории билетов с ценой, представленных на Платформе, для дальнейшей самостоятельной продажи и/или продажи через сеть распространителей Организатора, то процент за такие билеты Оператором не начисляется, такие билеты попадают в соответствующее поле отчета, за такие бланки билеты Оператором предусмотрено дополнительное вознаграждение, в размере 3 рублей за один бланк билет. </w:t>
      </w:r>
      <w:r>
        <w:rPr>
          <w:rFonts w:ascii="Times New Roman" w:hAnsi="Times New Roman"/>
          <w:b w:val="1"/>
          <w:i w:val="1"/>
          <w:sz w:val="18"/>
        </w:rPr>
        <w:t>(Пример: Продано через Платформу 500 билетов по 1000 рублей, Организатором сформированы и реализованы бланки билетов в количестве 50 штук по 800 рублей, и Организатор распространил 15 пригласительных билетов без цены, то вознаграждение Оператора составит: (500*1000)*0,0</w:t>
      </w:r>
      <w:r>
        <w:rPr>
          <w:rFonts w:ascii="Times New Roman" w:hAnsi="Times New Roman"/>
          <w:b w:val="1"/>
          <w:i w:val="1"/>
          <w:sz w:val="18"/>
        </w:rPr>
        <w:t>8</w:t>
      </w:r>
      <w:r>
        <w:rPr>
          <w:rFonts w:ascii="Times New Roman" w:hAnsi="Times New Roman"/>
          <w:b w:val="1"/>
          <w:i w:val="1"/>
          <w:sz w:val="18"/>
        </w:rPr>
        <w:t>=40000 рублей плюсом 50*3=150 рублей и 15*0=0. ИТОГО вознаграждение Оператора = 40150 рублей)</w:t>
      </w:r>
      <w:r>
        <w:rPr>
          <w:rFonts w:ascii="Times New Roman" w:hAnsi="Times New Roman"/>
          <w:sz w:val="18"/>
        </w:rPr>
        <w:t xml:space="preserve"> </w:t>
      </w:r>
    </w:p>
    <w:p w14:paraId="42000000">
      <w:pPr>
        <w:tabs>
          <w:tab w:leader="none" w:pos="851" w:val="left"/>
        </w:tabs>
        <w:spacing w:after="120"/>
        <w:ind w:firstLine="28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** </w:t>
      </w:r>
      <w:r>
        <w:rPr>
          <w:rFonts w:ascii="Times New Roman" w:hAnsi="Times New Roman"/>
          <w:sz w:val="18"/>
        </w:rPr>
        <w:t>возможность выводить денежные средства с лицевого счета на расчетный счет Организатора до начала проведения мероприятия возможно в соответствии с присвоенным Организатору статусу. Статусы присваиваются сле</w:t>
      </w:r>
      <w:r>
        <w:rPr>
          <w:rFonts w:ascii="Times New Roman" w:hAnsi="Times New Roman"/>
          <w:sz w:val="18"/>
        </w:rPr>
        <w:t>дующие,</w:t>
      </w:r>
      <w:r>
        <w:rPr>
          <w:rFonts w:ascii="Times New Roman" w:hAnsi="Times New Roman"/>
          <w:sz w:val="18"/>
        </w:rPr>
        <w:t xml:space="preserve"> при достижении следующих показателей общего оборота по проданным билетам на мероприятия Организатора:</w:t>
      </w:r>
    </w:p>
    <w:tbl>
      <w:tblPr>
        <w:tblStyle w:val="Style_2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3473"/>
        <w:gridCol w:w="3473"/>
        <w:gridCol w:w="3473"/>
      </w:tblGrid>
      <w:tr>
        <w:trPr>
          <w:trHeight w:hRule="atLeast" w:val="251"/>
        </w:trPr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3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Статус </w:t>
            </w:r>
            <w:r>
              <w:rPr>
                <w:rFonts w:ascii="Times New Roman" w:hAnsi="Times New Roman"/>
                <w:b w:val="1"/>
                <w:vertAlign w:val="superscript"/>
              </w:rPr>
              <w:t xml:space="preserve">1 </w:t>
            </w:r>
            <w:r>
              <w:rPr>
                <w:rFonts w:ascii="Times New Roman" w:hAnsi="Times New Roman"/>
                <w:b w:val="1"/>
              </w:rPr>
              <w:t>Организатора</w:t>
            </w:r>
          </w:p>
        </w:tc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4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Общий оборот на Платформе, в млн. руб.</w:t>
            </w:r>
          </w:p>
        </w:tc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5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Возможность вывода денежных средств в % от суммы подлежащей перечислению Организатору за Мероприятие</w:t>
            </w:r>
          </w:p>
        </w:tc>
      </w:tr>
      <w:tr>
        <w:trPr>
          <w:trHeight w:hRule="atLeast" w:val="341"/>
        </w:trPr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6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Стартовый</w:t>
            </w:r>
          </w:p>
        </w:tc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7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 до 10</w:t>
            </w:r>
          </w:p>
        </w:tc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8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</w:t>
            </w:r>
          </w:p>
        </w:tc>
      </w:tr>
      <w:tr>
        <w:trPr>
          <w:trHeight w:hRule="atLeast" w:val="341"/>
        </w:trPr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9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Комфорт</w:t>
            </w:r>
          </w:p>
        </w:tc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A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до 25</w:t>
            </w:r>
          </w:p>
        </w:tc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B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60</w:t>
            </w:r>
          </w:p>
        </w:tc>
      </w:tr>
      <w:tr>
        <w:trPr>
          <w:trHeight w:hRule="atLeast" w:val="341"/>
        </w:trPr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C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Комфорт +</w:t>
            </w:r>
          </w:p>
        </w:tc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D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25 до 70</w:t>
            </w:r>
          </w:p>
        </w:tc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E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70</w:t>
            </w:r>
          </w:p>
        </w:tc>
      </w:tr>
      <w:tr>
        <w:trPr>
          <w:trHeight w:hRule="atLeast" w:val="341"/>
        </w:trPr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F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Бизнес</w:t>
            </w:r>
          </w:p>
        </w:tc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0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70 до 150</w:t>
            </w:r>
          </w:p>
        </w:tc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1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80</w:t>
            </w:r>
          </w:p>
        </w:tc>
      </w:tr>
      <w:tr>
        <w:trPr>
          <w:trHeight w:hRule="atLeast" w:val="341"/>
        </w:trPr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2000000">
            <w:pPr>
              <w:tabs>
                <w:tab w:leader="none" w:pos="851" w:val="left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VIP</w:t>
            </w:r>
          </w:p>
        </w:tc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3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150</w:t>
            </w:r>
          </w:p>
        </w:tc>
        <w:tc>
          <w:tcPr>
            <w:tcW w:type="dxa" w:w="34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4000000">
            <w:pPr>
              <w:tabs>
                <w:tab w:leader="none" w:pos="851" w:val="left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90</w:t>
            </w:r>
          </w:p>
        </w:tc>
      </w:tr>
    </w:tbl>
    <w:p w14:paraId="55000000">
      <w:pPr>
        <w:tabs>
          <w:tab w:leader="none" w:pos="851" w:val="left"/>
        </w:tabs>
        <w:spacing w:after="120"/>
        <w:ind w:firstLine="28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1 - Статус Организатору присваивается Оператором.</w:t>
      </w:r>
      <w:r>
        <w:rPr>
          <w:rFonts w:ascii="Times New Roman" w:hAnsi="Times New Roman"/>
        </w:rPr>
        <w:br w:type="page"/>
      </w:r>
    </w:p>
    <w:sectPr>
      <w:pgSz w:h="16840" w:orient="portrait" w:w="11920"/>
      <w:pgMar w:bottom="851" w:footer="360" w:gutter="0" w:header="360" w:left="800" w:right="700" w:top="1276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648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720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ody Text"/>
    <w:basedOn w:val="Style_3"/>
    <w:link w:val="Style_6_ch"/>
    <w:pPr>
      <w:ind/>
      <w:jc w:val="both"/>
    </w:pPr>
  </w:style>
  <w:style w:styleId="Style_6_ch" w:type="character">
    <w:name w:val="Body Text"/>
    <w:basedOn w:val="Style_3_ch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basedOn w:val="Style_3"/>
    <w:next w:val="Style_3"/>
    <w:link w:val="Style_9_ch"/>
    <w:uiPriority w:val="9"/>
    <w:qFormat/>
    <w:pPr>
      <w:keepNext w:val="1"/>
      <w:keepLines w:val="1"/>
      <w:spacing w:after="80" w:before="280"/>
      <w:ind/>
      <w:outlineLvl w:val="2"/>
    </w:pPr>
    <w:rPr>
      <w:b w:val="1"/>
      <w:sz w:val="28"/>
    </w:rPr>
  </w:style>
  <w:style w:styleId="Style_9_ch" w:type="character">
    <w:name w:val="heading 3"/>
    <w:basedOn w:val="Style_3_ch"/>
    <w:link w:val="Style_9"/>
    <w:rPr>
      <w:b w:val="1"/>
      <w:sz w:val="28"/>
    </w:rPr>
  </w:style>
  <w:style w:styleId="Style_10" w:type="paragraph">
    <w:name w:val="List Paragraph"/>
    <w:basedOn w:val="Style_3"/>
    <w:link w:val="Style_10_ch"/>
    <w:pPr>
      <w:ind w:hanging="727" w:left="1186"/>
      <w:jc w:val="both"/>
    </w:pPr>
  </w:style>
  <w:style w:styleId="Style_10_ch" w:type="character">
    <w:name w:val="List Paragraph"/>
    <w:basedOn w:val="Style_3_ch"/>
    <w:link w:val="Style_10"/>
  </w:style>
  <w:style w:styleId="Style_11" w:type="paragraph">
    <w:name w:val="Table Paragraph"/>
    <w:basedOn w:val="Style_3"/>
    <w:link w:val="Style_11_ch"/>
  </w:style>
  <w:style w:styleId="Style_11_ch" w:type="character">
    <w:name w:val="Table Paragraph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basedOn w:val="Style_3"/>
    <w:next w:val="Style_3"/>
    <w:link w:val="Style_14_ch"/>
    <w:uiPriority w:val="9"/>
    <w:qFormat/>
    <w:pPr>
      <w:keepNext w:val="1"/>
      <w:keepLines w:val="1"/>
      <w:spacing w:after="40" w:before="220"/>
      <w:ind/>
      <w:outlineLvl w:val="4"/>
    </w:pPr>
    <w:rPr>
      <w:b w:val="1"/>
    </w:rPr>
  </w:style>
  <w:style w:styleId="Style_14_ch" w:type="character">
    <w:name w:val="heading 5"/>
    <w:basedOn w:val="Style_3_ch"/>
    <w:link w:val="Style_14"/>
    <w:rPr>
      <w:b w:val="1"/>
    </w:rPr>
  </w:style>
  <w:style w:styleId="Style_15" w:type="paragraph">
    <w:name w:val="heading 1"/>
    <w:basedOn w:val="Style_3"/>
    <w:link w:val="Style_15_ch"/>
    <w:uiPriority w:val="9"/>
    <w:qFormat/>
    <w:pPr>
      <w:ind w:firstLine="0" w:left="766"/>
      <w:outlineLvl w:val="0"/>
    </w:pPr>
    <w:rPr>
      <w:b w:val="1"/>
    </w:rPr>
  </w:style>
  <w:style w:styleId="Style_15_ch" w:type="character">
    <w:name w:val="heading 1"/>
    <w:basedOn w:val="Style_3_ch"/>
    <w:link w:val="Style_15"/>
    <w:rPr>
      <w:b w:val="1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basedOn w:val="Style_3"/>
    <w:next w:val="Style_3"/>
    <w:link w:val="Style_23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3_ch" w:type="character">
    <w:name w:val="Subtitle"/>
    <w:basedOn w:val="Style_3_ch"/>
    <w:link w:val="Style_23"/>
    <w:rPr>
      <w:rFonts w:ascii="Georgia" w:hAnsi="Georgia"/>
      <w:i w:val="1"/>
      <w:color w:val="666666"/>
      <w:sz w:val="48"/>
    </w:rPr>
  </w:style>
  <w:style w:styleId="Style_24" w:type="paragraph">
    <w:name w:val="toc 10"/>
    <w:next w:val="Style_3"/>
    <w:link w:val="Style_24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4_ch" w:type="character">
    <w:name w:val="toc 10"/>
    <w:link w:val="Style_24"/>
    <w:rPr>
      <w:rFonts w:ascii="XO Thames" w:hAnsi="XO Thames"/>
      <w:sz w:val="28"/>
    </w:rPr>
  </w:style>
  <w:style w:styleId="Style_25" w:type="paragraph">
    <w:name w:val="Title"/>
    <w:basedOn w:val="Style_3"/>
    <w:next w:val="Style_3"/>
    <w:link w:val="Style_25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25_ch" w:type="character">
    <w:name w:val="Title"/>
    <w:basedOn w:val="Style_3_ch"/>
    <w:link w:val="Style_25"/>
    <w:rPr>
      <w:b w:val="1"/>
      <w:sz w:val="72"/>
    </w:rPr>
  </w:style>
  <w:style w:styleId="Style_26" w:type="paragraph">
    <w:name w:val="heading 4"/>
    <w:basedOn w:val="Style_3"/>
    <w:next w:val="Style_3"/>
    <w:link w:val="Style_26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26_ch" w:type="character">
    <w:name w:val="heading 4"/>
    <w:basedOn w:val="Style_3_ch"/>
    <w:link w:val="Style_26"/>
    <w:rPr>
      <w:b w:val="1"/>
      <w:sz w:val="24"/>
    </w:rPr>
  </w:style>
  <w:style w:styleId="Style_27" w:type="paragraph">
    <w:name w:val="heading 2"/>
    <w:basedOn w:val="Style_3"/>
    <w:next w:val="Style_3"/>
    <w:link w:val="Style_27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7_ch" w:type="character">
    <w:name w:val="heading 2"/>
    <w:basedOn w:val="Style_3_ch"/>
    <w:link w:val="Style_27"/>
    <w:rPr>
      <w:b w:val="1"/>
      <w:sz w:val="36"/>
    </w:rPr>
  </w:style>
  <w:style w:styleId="Style_28" w:type="paragraph">
    <w:name w:val="heading 6"/>
    <w:basedOn w:val="Style_3"/>
    <w:next w:val="Style_3"/>
    <w:link w:val="Style_28_ch"/>
    <w:uiPriority w:val="9"/>
    <w:qFormat/>
    <w:pPr>
      <w:keepNext w:val="1"/>
      <w:keepLines w:val="1"/>
      <w:spacing w:after="40" w:before="200"/>
      <w:ind/>
      <w:outlineLvl w:val="5"/>
    </w:pPr>
    <w:rPr>
      <w:b w:val="1"/>
      <w:sz w:val="20"/>
    </w:rPr>
  </w:style>
  <w:style w:styleId="Style_28_ch" w:type="character">
    <w:name w:val="heading 6"/>
    <w:basedOn w:val="Style_3_ch"/>
    <w:link w:val="Style_28"/>
    <w:rPr>
      <w:b w:val="1"/>
      <w:sz w:val="20"/>
    </w:rPr>
  </w:style>
  <w:style w:styleId="Style_29" w:type="table">
    <w:basedOn w:val="Style_30"/>
    <w:semiHidden w:val="1"/>
    <w:unhideWhenUsed w:val="1"/>
    <w:pPr>
      <w:spacing w:after="120"/>
      <w:ind w:firstLine="0" w:left="173" w:right="259"/>
    </w:pPr>
    <w:rPr>
      <w:rFonts w:ascii="Calibri" w:hAnsi="Calibri"/>
      <w:i w:val="1"/>
    </w:rPr>
    <w:tblPr>
      <w:tblCellMar>
        <w:left w:type="dxa" w:w="58"/>
        <w:right w:type="dxa" w:w="58"/>
      </w:tblCellMar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32" w:type="table">
    <w:basedOn w:val="Style_30"/>
    <w:semiHidden w:val="1"/>
    <w:unhideWhenUsed w:val="1"/>
    <w:pPr>
      <w:spacing w:after="120"/>
      <w:ind w:firstLine="0" w:left="173" w:right="259"/>
    </w:pPr>
    <w:rPr>
      <w:rFonts w:ascii="Calibri" w:hAnsi="Calibri"/>
      <w:i w:val="1"/>
    </w:rPr>
    <w:tblPr>
      <w:tblCellMar>
        <w:left w:type="dxa" w:w="58"/>
        <w:right w:type="dxa" w:w="58"/>
      </w:tblCellMar>
    </w:tblPr>
  </w:style>
  <w:style w:styleId="Style_1" w:type="table">
    <w:basedOn w:val="Style_30"/>
    <w:semiHidden w:val="1"/>
    <w:unhideWhenUsed w:val="1"/>
    <w:tblPr>
      <w:tblCellMar>
        <w:top w:type="dxa" w:w="100"/>
        <w:left w:type="dxa" w:w="100"/>
        <w:bottom w:type="dxa" w:w="100"/>
        <w:right w:type="dxa" w:w="100"/>
      </w:tblCellMar>
    </w:tblPr>
  </w:style>
  <w:style w:styleId="Style_2" w:type="table">
    <w:basedOn w:val="Style_30"/>
    <w:semiHidden w:val="1"/>
    <w:unhideWhenUsed w:val="1"/>
    <w:tblPr>
      <w:tblCellMar>
        <w:top w:type="dxa" w:w="100"/>
        <w:left w:type="dxa" w:w="100"/>
        <w:bottom w:type="dxa" w:w="100"/>
        <w:right w:type="dxa" w:w="100"/>
      </w:tblCellMar>
    </w:tblPr>
  </w:style>
  <w:style w:styleId="Style_33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2023-09-05T08:43:20Z</dcterms:modified>
</cp:coreProperties>
</file>